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Times New Roman" w:hAnsi="Times New Roman"/>
          <w:b/>
          <w:color w:val="0F172A"/>
          <w:sz w:val="36"/>
        </w:rPr>
        <w:t>Yapay Zekâ Çağında Sosyolojik Kırılmalar: Dijital Emek, Gözetim Kapitalizmi ve Kurumsal Dönüşüm</w:t>
      </w:r>
    </w:p>
    <w:p>
      <w:pPr>
        <w:spacing w:after="200"/>
        <w:jc w:val="center"/>
      </w:pPr>
      <w:r>
        <w:rPr>
          <w:rFonts w:ascii="Times New Roman" w:hAnsi="Times New Roman"/>
          <w:i/>
          <w:color w:val="475569"/>
          <w:sz w:val="24"/>
        </w:rPr>
        <w:t>Örnek Makale Taslağı | Sosyoloji ve İletişim Çalışmaları | APA 7 Formatı</w:t>
      </w:r>
    </w:p>
    <w:p>
      <w:pPr>
        <w:spacing w:after="360"/>
        <w:jc w:val="center"/>
      </w:pPr>
      <w:r>
        <w:rPr>
          <w:rFonts w:ascii="Times New Roman" w:hAnsi="Times New Roman"/>
          <w:color w:val="64748B"/>
          <w:sz w:val="20"/>
        </w:rPr>
        <w:t>Disiplin: Sosyal ve Beşerî Bilimler | AcademicResearch.com.tr Vitrin Taslağı</w:t>
      </w:r>
    </w:p>
    <w:p>
      <w:pPr>
        <w:pStyle w:val="Heading1"/>
        <w:keepNext/>
        <w:spacing w:before="280" w:after="80"/>
      </w:pPr>
      <w:r>
        <w:rPr>
          <w:rFonts w:ascii="Times New Roman" w:hAnsi="Times New Roman"/>
          <w:b/>
          <w:color w:val="0F172A"/>
          <w:sz w:val="30"/>
        </w:rPr>
        <w:t>Özet</w:t>
      </w:r>
    </w:p>
    <w:p>
      <w:pPr>
        <w:spacing w:after="120" w:line="360" w:lineRule="auto"/>
        <w:ind w:firstLine="720"/>
        <w:jc w:val="both"/>
      </w:pPr>
      <w:r>
        <w:rPr>
          <w:rFonts w:ascii="Times New Roman" w:hAnsi="Times New Roman"/>
        </w:rPr>
        <w:t xml:space="preserve">Bu çalışma, üretken yapay zekâ sistemlerinin akademi ve entelektüel bilgi üretimi süreçlerinde kurumsallaşmasıyla ortaya çıkan yeni tahakküm ve dijital emek dinamiklerini eleştirel bir sosyolojik perspektifle incelemektedir. Shoshana Zuboff'un </w:t>
      </w:r>
      <w:r>
        <w:rPr>
          <w:rFonts w:ascii="Times New Roman" w:hAnsi="Times New Roman"/>
          <w:i/>
        </w:rPr>
        <w:t>gözetim kapitalizmi</w:t>
      </w:r>
      <w:r>
        <w:rPr>
          <w:rFonts w:ascii="Times New Roman" w:hAnsi="Times New Roman"/>
        </w:rPr>
        <w:t xml:space="preserve"> (surveillance capitalism) ve Christian Fuchs'un </w:t>
      </w:r>
      <w:r>
        <w:rPr>
          <w:rFonts w:ascii="Times New Roman" w:hAnsi="Times New Roman"/>
          <w:i/>
        </w:rPr>
        <w:t>dijital yabancılaşma</w:t>
      </w:r>
      <w:r>
        <w:rPr>
          <w:rFonts w:ascii="Times New Roman" w:hAnsi="Times New Roman"/>
        </w:rPr>
        <w:t xml:space="preserve"> (digital alienation) kuramsal modelleri temele alınarak, Türkiye'deki devlet ve vakıf üniversitelerinde görev yapan 18 akademisyen ile derinlemesine yarı-yapılandırılmış mülakatlar yürütülmüştür. Norman Fairclough'un Eleştirel Söylem Analizi (CDA) çerçevesiyle çözümlenen veriler; algoritmik üretkenlik metriklerinin bilişsel emeği görünmez kıldığını, araştırmacı özerkliğini zedelediğini ve akademik prekariteyi derinleştirdiğini ortaya koymaktadır.</w:t>
      </w:r>
    </w:p>
    <w:p>
      <w:pPr>
        <w:spacing w:after="120" w:line="360" w:lineRule="auto"/>
        <w:ind w:firstLine="720"/>
        <w:jc w:val="both"/>
      </w:pPr>
      <w:r>
        <w:rPr>
          <w:rFonts w:ascii="Times New Roman" w:hAnsi="Times New Roman"/>
          <w:b/>
        </w:rPr>
        <w:t>Anahtar Kelimeler:</w:t>
      </w:r>
      <w:r>
        <w:rPr>
          <w:rFonts w:ascii="Times New Roman" w:hAnsi="Times New Roman"/>
        </w:rPr>
        <w:t xml:space="preserve"> Dijital Emek, Gözetim Kapitalizmi, Bilişsel Yabancılaşma, Eleştirel Söylem Analizi, Akademik Prekarite, Yapay Zekâ Etiği.</w:t>
      </w:r>
    </w:p>
    <w:p>
      <w:pPr>
        <w:pStyle w:val="Heading1"/>
        <w:keepNext/>
        <w:spacing w:before="280" w:after="80"/>
      </w:pPr>
      <w:r>
        <w:rPr>
          <w:rFonts w:ascii="Times New Roman" w:hAnsi="Times New Roman"/>
          <w:b/>
          <w:color w:val="0F172A"/>
          <w:sz w:val="30"/>
        </w:rPr>
        <w:t>Abstract</w:t>
      </w:r>
    </w:p>
    <w:p>
      <w:pPr>
        <w:spacing w:after="120" w:line="360" w:lineRule="auto"/>
        <w:ind w:firstLine="720"/>
        <w:jc w:val="both"/>
      </w:pPr>
      <w:r>
        <w:rPr>
          <w:rFonts w:ascii="Times New Roman" w:hAnsi="Times New Roman"/>
        </w:rPr>
        <w:t>This article critically investigates the emergent dynamics of digital labour and institutional domination fostered by the rapid adoption of generative artificial intelligence in higher education and intellectual knowledge production. Grounded in Zuboff's (2019) theory of surveillance capitalism and Fuchs's (2021) Marxist critique of digital labour, in-depth semi-structured interviews were conducted with 18 faculty members across Turkish universities. Analyzed through Fairclough's Critical Discourse Analysis (CDA), the findings demonstrate that algorithmic productivity pressures systematically devalue cognitive labour, erode intellectual autonomy, and reinforce academic precarity.</w:t>
      </w:r>
    </w:p>
    <w:p>
      <w:pPr>
        <w:spacing w:after="120" w:line="360" w:lineRule="auto"/>
        <w:ind w:firstLine="720"/>
        <w:jc w:val="both"/>
      </w:pPr>
      <w:r>
        <w:rPr>
          <w:rFonts w:ascii="Times New Roman" w:hAnsi="Times New Roman"/>
          <w:b/>
        </w:rPr>
        <w:t>Keywords:</w:t>
      </w:r>
      <w:r>
        <w:rPr>
          <w:rFonts w:ascii="Times New Roman" w:hAnsi="Times New Roman"/>
        </w:rPr>
        <w:t xml:space="preserve"> Digital Labour, Surveillance Capitalism, Cognitive Alienation, Critical Discourse Analysis, Academic Precarity.</w:t>
      </w:r>
    </w:p>
    <w:p>
      <w:pPr>
        <w:pStyle w:val="Heading2"/>
        <w:keepNext/>
        <w:spacing w:before="240" w:after="80"/>
      </w:pPr>
      <w:r>
        <w:rPr>
          <w:rFonts w:ascii="Times New Roman" w:hAnsi="Times New Roman"/>
          <w:b/>
          <w:color w:val="1E293B"/>
          <w:sz w:val="26"/>
        </w:rPr>
        <w:t>1. Giriş ve Sorunsallaştırma</w:t>
      </w:r>
    </w:p>
    <w:p>
      <w:pPr>
        <w:spacing w:after="120" w:line="360" w:lineRule="auto"/>
        <w:ind w:firstLine="720"/>
        <w:jc w:val="both"/>
      </w:pPr>
      <w:r>
        <w:rPr>
          <w:rFonts w:ascii="Times New Roman" w:hAnsi="Times New Roman"/>
        </w:rPr>
        <w:t>Yirmi birinci yüzyılın ilk çeyreğinde üretken yapay zekâ (generative AI) modellerinin kitleselleşmesi, yalnızca teknolojik bir sıçrama değil; aynı zamanda entelektüel üretimin ontolojik ve epistemolojik temellerini sarsan yapısal bir dönüşüm olarak karşımıza çıkmaktadır. Geleneksel olarak insan zihninin ve yaratıcılığının münhasır alanı sayılan metin kurgulama, sentezleme ve kavramsal sorunsallaştırma süreçleri, artık büyük dil modelleri (LLM) tarafından milisaniyeler içinde simüle edilebilmektedir (Bozkurt, 2023; Selwyn, 2022).</w:t>
      </w:r>
    </w:p>
    <w:p>
      <w:pPr>
        <w:spacing w:after="120" w:line="360" w:lineRule="auto"/>
        <w:ind w:firstLine="720"/>
        <w:jc w:val="both"/>
      </w:pPr>
      <w:r>
        <w:rPr>
          <w:rFonts w:ascii="Times New Roman" w:hAnsi="Times New Roman"/>
        </w:rPr>
        <w:t>Bu durum özellikle üniversitelerde ve bilgi endüstrisinde bilişsel emeğin doğasını kökten dönüştürmektedir. Yayın baskısı, atıf endeksleri ve küresel üniversite sıralamaları gibi neoliberal performans rejimleri altında çalışan araştırmacılar için yapay zekâ araçları; bir yandan zaman kazandıran rasyonel bir kaldıraç gibi sunulurken, diğer yandan entelektüel özerkliği aşındıran ve yazarlık kimliğini melezleştiren bir gözetim aygıtına dönüşmektedir (Zuboff, 2019). Bu makalenin temel sorunsalı; üretken yapay zekâ asistanlarının akademik bilgi üretiminde bilişsel emeğin özerkliğini nasıl dönüştürdüğü ve akademi içinde ne tür yeni hiyerarşik tabakalaşma biçimleri doğurduğudur.</w:t>
      </w:r>
    </w:p>
    <w:p>
      <w:pPr>
        <w:pStyle w:val="Heading2"/>
        <w:keepNext/>
        <w:spacing w:before="240" w:after="80"/>
      </w:pPr>
      <w:r>
        <w:rPr>
          <w:rFonts w:ascii="Times New Roman" w:hAnsi="Times New Roman"/>
          <w:b/>
          <w:color w:val="1E293B"/>
          <w:sz w:val="26"/>
        </w:rPr>
        <w:t>2. Kuramsal Çerçeve: Gözetim Kapitalizmi ve Dijital Yabancılaşma</w:t>
      </w:r>
    </w:p>
    <w:p>
      <w:pPr>
        <w:spacing w:after="120" w:line="360" w:lineRule="auto"/>
        <w:ind w:firstLine="720"/>
        <w:jc w:val="both"/>
      </w:pPr>
      <w:r>
        <w:rPr>
          <w:rFonts w:ascii="Times New Roman" w:hAnsi="Times New Roman"/>
        </w:rPr>
        <w:t>Çalışmamız kuramsal omurgasını iki temel eksene oturtmaktadır:</w:t>
      </w:r>
    </w:p>
    <w:p>
      <w:pPr>
        <w:pStyle w:val="ListNumber"/>
        <w:spacing w:after="60" w:line="312" w:lineRule="auto"/>
      </w:pPr>
      <w:r>
        <w:rPr>
          <w:rFonts w:ascii="Times New Roman" w:hAnsi="Times New Roman"/>
          <w:b/>
        </w:rPr>
        <w:t>Zuboff'un Gözetim Kapitalizmi Modeli:</w:t>
      </w:r>
      <w:r>
        <w:rPr>
          <w:rFonts w:ascii="Times New Roman" w:hAnsi="Times New Roman"/>
        </w:rPr>
        <w:t xml:space="preserve"> Zuboff (2019), insan deneyiminin davranışsal veri olarak metalaştırılmasını ve tahmin ürünlerine dönüştürülmesini "davranışsal artık" (behavioral surplus) kavramıyla açıklar. Akademik yazım ortamlarında yapay zekâ asistanlarının kullanımı, araştırmacıların düşünce akışını, kavramsal tercihlerini ve entelektüel sorgulamalarını algoritmik besleme verisine indirgemektedir.</w:t>
      </w:r>
    </w:p>
    <w:p>
      <w:pPr>
        <w:pStyle w:val="ListNumber"/>
        <w:spacing w:after="60" w:line="312" w:lineRule="auto"/>
      </w:pPr>
      <w:r>
        <w:rPr>
          <w:rFonts w:ascii="Times New Roman" w:hAnsi="Times New Roman"/>
          <w:b/>
        </w:rPr>
        <w:t>Fuchs'un Dijital Emek ve Yabancılaşma Teorisi:</w:t>
      </w:r>
      <w:r>
        <w:rPr>
          <w:rFonts w:ascii="Times New Roman" w:hAnsi="Times New Roman"/>
        </w:rPr>
        <w:t xml:space="preserve"> Fuchs (2021), Marx'ın Grundrisse metnindeki genel zekâ (general intellect) tartışmasını dijital çağa taşır. Bilgi işçisinin emeği, platform sermayesinin algoritmalarında yabancı bir güç olarak karşısına çıkmakta; üretilen metin üzerindeki telif ve ontolojik aidiyet duygusu parçalanmaktadır.</w:t>
      </w:r>
    </w:p>
    <w:p>
      <w:pPr>
        <w:pStyle w:val="Heading2"/>
        <w:keepNext/>
        <w:spacing w:before="240" w:after="80"/>
      </w:pPr>
      <w:r>
        <w:rPr>
          <w:rFonts w:ascii="Times New Roman" w:hAnsi="Times New Roman"/>
          <w:b/>
          <w:color w:val="1E293B"/>
          <w:sz w:val="26"/>
        </w:rPr>
        <w:t>3. Metodoloji ve Araştırma Deseni</w:t>
      </w:r>
    </w:p>
    <w:p>
      <w:pPr>
        <w:spacing w:after="120" w:line="360" w:lineRule="auto"/>
        <w:ind w:firstLine="720"/>
        <w:jc w:val="both"/>
      </w:pPr>
      <w:r>
        <w:rPr>
          <w:rFonts w:ascii="Times New Roman" w:hAnsi="Times New Roman"/>
        </w:rPr>
        <w:t xml:space="preserve">Araştırma, nitel araştırma deseni ilkelerine göre kurgulanmış ve </w:t>
      </w:r>
      <w:r>
        <w:rPr>
          <w:rFonts w:ascii="Times New Roman" w:hAnsi="Times New Roman"/>
          <w:b/>
        </w:rPr>
        <w:t>Eleştirel Söylem Analizi (CDA)</w:t>
      </w:r>
      <w:r>
        <w:rPr>
          <w:rFonts w:ascii="Times New Roman" w:hAnsi="Times New Roman"/>
        </w:rPr>
        <w:t xml:space="preserve"> yöntemi benimsenmiştir (Fairclough, 2013).</w:t>
      </w:r>
    </w:p>
    <w:p>
      <w:pPr>
        <w:pStyle w:val="ListBullet"/>
        <w:spacing w:after="60" w:line="312" w:lineRule="auto"/>
      </w:pPr>
      <w:r>
        <w:rPr>
          <w:rFonts w:ascii="Times New Roman" w:hAnsi="Times New Roman"/>
          <w:b/>
        </w:rPr>
        <w:t>Örneklem:</w:t>
      </w:r>
      <w:r>
        <w:rPr>
          <w:rFonts w:ascii="Times New Roman" w:hAnsi="Times New Roman"/>
        </w:rPr>
        <w:t xml:space="preserve"> Maksimum çeşitlilik örneklemesi yöntemiyle seçilen 5 farklı üniversiteden 18 öğretim üyesi ve genç araştırmacı (10 Sosyal Bilimler, 8 Fen/Mühendislik).</w:t>
      </w:r>
    </w:p>
    <w:p>
      <w:pPr>
        <w:pStyle w:val="ListBullet"/>
        <w:spacing w:after="60" w:line="312" w:lineRule="auto"/>
      </w:pPr>
      <w:r>
        <w:rPr>
          <w:rFonts w:ascii="Times New Roman" w:hAnsi="Times New Roman"/>
          <w:b/>
        </w:rPr>
        <w:t>Veri Toplama:</w:t>
      </w:r>
      <w:r>
        <w:rPr>
          <w:rFonts w:ascii="Times New Roman" w:hAnsi="Times New Roman"/>
        </w:rPr>
        <w:t xml:space="preserve"> 2025-2026 akademik yılı boyunca yüz yüze ve çevrim içi ortamda yürütülen ortalama 55 dakikalık yarı-yapılandırılmış derinlemesine mülakatlar. Mülakat dökümleri 148 sayfalık ham metne dönüştürülmüştür.</w:t>
      </w:r>
    </w:p>
    <w:p>
      <w:pPr>
        <w:pStyle w:val="ListBullet"/>
        <w:spacing w:after="60" w:line="312" w:lineRule="auto"/>
      </w:pPr>
      <w:r>
        <w:rPr>
          <w:rFonts w:ascii="Times New Roman" w:hAnsi="Times New Roman"/>
          <w:b/>
        </w:rPr>
        <w:t>Güvenilirlik ve Etik:</w:t>
      </w:r>
      <w:r>
        <w:rPr>
          <w:rFonts w:ascii="Times New Roman" w:hAnsi="Times New Roman"/>
        </w:rPr>
        <w:t xml:space="preserve"> İki bağımsız kodlayıcı tarafından tematik analiz yapılmış ve Cohen's Kappa uyum katsayısı $\kappa = 0.88$ olarak yüksek düzeyde doğrulanmıştır. Üniversite Etik Kurul Onay No: 2026/E-142. Katılımcı kimlikleri K1..K18 kodlarıyla anonimleştirilmiştir.</w:t>
      </w:r>
    </w:p>
    <w:p>
      <w:pPr>
        <w:pStyle w:val="Heading2"/>
        <w:keepNext/>
        <w:spacing w:before="240" w:after="80"/>
      </w:pPr>
      <w:r>
        <w:rPr>
          <w:rFonts w:ascii="Times New Roman" w:hAnsi="Times New Roman"/>
          <w:b/>
          <w:color w:val="1E293B"/>
          <w:sz w:val="26"/>
        </w:rPr>
        <w:t>4. Bulgular ve Analiz</w:t>
      </w:r>
    </w:p>
    <w:p>
      <w:pPr>
        <w:spacing w:after="120" w:line="360" w:lineRule="auto"/>
        <w:ind w:firstLine="720"/>
        <w:jc w:val="both"/>
      </w:pPr>
      <w:r>
        <w:rPr>
          <w:rFonts w:ascii="Times New Roman" w:hAnsi="Times New Roman"/>
        </w:rPr>
        <w:t>Mülakat metinlerinin üç boyutlu söylem analizi sonucunda üç temel kırılma teması tespit edilmiştir:</w:t>
      </w:r>
    </w:p>
    <w:p>
      <w:pPr>
        <w:pStyle w:val="ListNumber"/>
        <w:spacing w:after="60" w:line="312" w:lineRule="auto"/>
      </w:pPr>
      <w:r>
        <w:rPr>
          <w:rFonts w:ascii="Times New Roman" w:hAnsi="Times New Roman"/>
          <w:b/>
        </w:rPr>
        <w:t>Bilişsel Emeğin Parçalanması ve 'Yapay Hız' Baskısı:</w:t>
      </w:r>
      <w:r>
        <w:rPr>
          <w:rFonts w:ascii="Times New Roman" w:hAnsi="Times New Roman"/>
        </w:rPr>
        <w:t xml:space="preserve"> Katılımcıların %83'ü (n=15), yapay zekânın literatür tarama ve taslak çıkarma hızının, üniversite yönetimleri nezdinde "daha çok yayın yapma" yönünde örtük bir mobbinge dönüştüğünü ifade etmiştir. K4 kodlu araştırmacı: </w:t>
      </w:r>
      <w:r>
        <w:rPr>
          <w:rFonts w:ascii="Times New Roman" w:hAnsi="Times New Roman"/>
          <w:i/>
        </w:rPr>
        <w:t>"Eskiden bir makalenin kuramsal altyapısını 3 ayda kurardık; şimdi bölüm başkanlığı 3 haftada taslak bekliyor. Düşünmeye ve demlenmeye zaman tanınmıyor."</w:t>
      </w:r>
    </w:p>
    <w:p>
      <w:pPr>
        <w:pStyle w:val="ListNumber"/>
        <w:spacing w:after="60" w:line="312" w:lineRule="auto"/>
      </w:pPr>
      <w:r>
        <w:rPr>
          <w:rFonts w:ascii="Times New Roman" w:hAnsi="Times New Roman"/>
          <w:b/>
        </w:rPr>
        <w:t>Yazar Kimliğinde Anonimleşme ve Özgünlük Kaygısı:</w:t>
      </w:r>
      <w:r>
        <w:rPr>
          <w:rFonts w:ascii="Times New Roman" w:hAnsi="Times New Roman"/>
        </w:rPr>
        <w:t xml:space="preserve"> Katılımcıların %72'si, algoritmaların önerdiği metin yapılarının tek tipleşmeye (homojenizasyon) yol açtığını ve özgün eleştirel tınıyı törpülediğini vurgulamıştır.</w:t>
      </w:r>
    </w:p>
    <w:p>
      <w:pPr>
        <w:pStyle w:val="ListNumber"/>
        <w:spacing w:after="60" w:line="312" w:lineRule="auto"/>
      </w:pPr>
      <w:r>
        <w:rPr>
          <w:rFonts w:ascii="Times New Roman" w:hAnsi="Times New Roman"/>
          <w:b/>
        </w:rPr>
        <w:t>Yeni Nesil Akademik Prekarite:</w:t>
      </w:r>
      <w:r>
        <w:rPr>
          <w:rFonts w:ascii="Times New Roman" w:hAnsi="Times New Roman"/>
        </w:rPr>
        <w:t xml:space="preserve"> Genç araştırmacılar, algoritmaların rutin akademik görevleri (özet çıkarma, kaynakça biçimlendirme) üstlenmesiyle asistanlık pozisyonlarının kurumsal olarak gereksizleştirileceği endişesini taşımaktadır.</w:t>
      </w:r>
    </w:p>
    <w:p>
      <w:pPr>
        <w:pStyle w:val="Heading2"/>
        <w:keepNext/>
        <w:spacing w:before="240" w:after="80"/>
      </w:pPr>
      <w:r>
        <w:rPr>
          <w:rFonts w:ascii="Times New Roman" w:hAnsi="Times New Roman"/>
          <w:b/>
          <w:color w:val="1E293B"/>
          <w:sz w:val="26"/>
        </w:rPr>
        <w:t>5. Tartışma ve Sonuç</w:t>
      </w:r>
    </w:p>
    <w:p>
      <w:pPr>
        <w:spacing w:after="120" w:line="360" w:lineRule="auto"/>
        <w:ind w:firstLine="720"/>
        <w:jc w:val="both"/>
      </w:pPr>
      <w:r>
        <w:rPr>
          <w:rFonts w:ascii="Times New Roman" w:hAnsi="Times New Roman"/>
        </w:rPr>
        <w:t>Elde edilen bulgular, yapay zekânın akademide tarafsız ve masum bir "verimlilik aracı" olmadığını; aksine bilgi emeğini metalaştıran kurumsal bir dispozitif işlevi gördüğünü kanıtlamaktadır. Üniversitelerin senato düzeyinde "Üretken Yapay Zekâ Kullanım ve Etik İlkeleri Kılavuzları" oluşturması, araştırmacıların algoritmik asistanları eleştirel bir mesafeyle kullanabilmesi için bilişsel özerklik güvencelerinin getirilmesi zorunludur.</w:t>
      </w:r>
    </w:p>
    <w:p>
      <w:pPr>
        <w:pStyle w:val="Heading2"/>
        <w:keepNext/>
        <w:spacing w:before="240" w:after="80"/>
      </w:pPr>
      <w:r>
        <w:rPr>
          <w:rFonts w:ascii="Times New Roman" w:hAnsi="Times New Roman"/>
          <w:b/>
          <w:color w:val="1E293B"/>
          <w:sz w:val="26"/>
        </w:rPr>
        <w:t>Kaynakça (APA 7)</w:t>
      </w:r>
    </w:p>
    <w:p>
      <w:pPr>
        <w:spacing w:after="120" w:line="360" w:lineRule="auto"/>
        <w:ind w:left="720" w:hanging="720"/>
        <w:jc w:val="both"/>
      </w:pPr>
      <w:r>
        <w:rPr>
          <w:rFonts w:ascii="Times New Roman" w:hAnsi="Times New Roman"/>
        </w:rPr>
        <w:t xml:space="preserve">Bozkurt, A. (2023). Generative artificial intelligence in higher education: Perspectives, practices, and policies. </w:t>
      </w:r>
      <w:r>
        <w:rPr>
          <w:rFonts w:ascii="Times New Roman" w:hAnsi="Times New Roman"/>
          <w:i/>
        </w:rPr>
        <w:t>Asian Journal of Distance Education</w:t>
      </w:r>
      <w:r>
        <w:rPr>
          <w:rFonts w:ascii="Times New Roman" w:hAnsi="Times New Roman"/>
        </w:rPr>
        <w:t>, 18(2), 1–14.</w:t>
      </w:r>
    </w:p>
    <w:p>
      <w:pPr>
        <w:spacing w:after="120" w:line="360" w:lineRule="auto"/>
        <w:ind w:left="720" w:hanging="720"/>
        <w:jc w:val="both"/>
      </w:pPr>
      <w:r>
        <w:rPr>
          <w:rFonts w:ascii="Times New Roman" w:hAnsi="Times New Roman"/>
        </w:rPr>
        <w:t xml:space="preserve">Fairclough, N. (2013). </w:t>
      </w:r>
      <w:r>
        <w:rPr>
          <w:rFonts w:ascii="Times New Roman" w:hAnsi="Times New Roman"/>
          <w:i/>
        </w:rPr>
        <w:t>Critical discourse analysis: The critical study of language</w:t>
      </w:r>
      <w:r>
        <w:rPr>
          <w:rFonts w:ascii="Times New Roman" w:hAnsi="Times New Roman"/>
        </w:rPr>
        <w:t xml:space="preserve"> (2nd ed.). Routledge.</w:t>
      </w:r>
    </w:p>
    <w:p>
      <w:pPr>
        <w:spacing w:after="120" w:line="360" w:lineRule="auto"/>
        <w:ind w:left="720" w:hanging="720"/>
        <w:jc w:val="both"/>
      </w:pPr>
      <w:r>
        <w:rPr>
          <w:rFonts w:ascii="Times New Roman" w:hAnsi="Times New Roman"/>
        </w:rPr>
        <w:t xml:space="preserve">Fuchs, C. (2021). </w:t>
      </w:r>
      <w:r>
        <w:rPr>
          <w:rFonts w:ascii="Times New Roman" w:hAnsi="Times New Roman"/>
          <w:i/>
        </w:rPr>
        <w:t>Digital labour and Karl Marx</w:t>
      </w:r>
      <w:r>
        <w:rPr>
          <w:rFonts w:ascii="Times New Roman" w:hAnsi="Times New Roman"/>
        </w:rPr>
        <w:t>. Routledge. https://doi.org/10.4324/9781003185369</w:t>
      </w:r>
    </w:p>
    <w:p>
      <w:pPr>
        <w:spacing w:after="120" w:line="360" w:lineRule="auto"/>
        <w:ind w:left="720" w:hanging="720"/>
        <w:jc w:val="both"/>
      </w:pPr>
      <w:r>
        <w:rPr>
          <w:rFonts w:ascii="Times New Roman" w:hAnsi="Times New Roman"/>
        </w:rPr>
        <w:t xml:space="preserve">Selwyn, N. (2022). Should robots replace teachers? AI and the future of education. </w:t>
      </w:r>
      <w:r>
        <w:rPr>
          <w:rFonts w:ascii="Times New Roman" w:hAnsi="Times New Roman"/>
          <w:i/>
        </w:rPr>
        <w:t>British Journal of Educational Technology</w:t>
      </w:r>
      <w:r>
        <w:rPr>
          <w:rFonts w:ascii="Times New Roman" w:hAnsi="Times New Roman"/>
        </w:rPr>
        <w:t>, 53(3), 447–459. https://doi.org/10.1111/bjet.13200</w:t>
      </w:r>
    </w:p>
    <w:p>
      <w:pPr>
        <w:spacing w:after="120" w:line="360" w:lineRule="auto"/>
        <w:ind w:left="720" w:hanging="720"/>
        <w:jc w:val="both"/>
      </w:pPr>
      <w:r>
        <w:rPr>
          <w:rFonts w:ascii="Times New Roman" w:hAnsi="Times New Roman"/>
        </w:rPr>
        <w:t xml:space="preserve">Zuboff, S. (2019). </w:t>
      </w:r>
      <w:r>
        <w:rPr>
          <w:rFonts w:ascii="Times New Roman" w:hAnsi="Times New Roman"/>
          <w:i/>
        </w:rPr>
        <w:t>The age of surveillance capitalism: The fight for a human future at the new frontier of power</w:t>
      </w:r>
      <w:r>
        <w:rPr>
          <w:rFonts w:ascii="Times New Roman" w:hAnsi="Times New Roman"/>
        </w:rPr>
        <w:t>. PublicAffairs.</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jc w:val="both"/>
    </w:pPr>
    <w:rPr>
      <w:rFonts w:ascii="Times New Roman" w:hAnsi="Times New Roman"/>
      <w:color w:val="11182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