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Times New Roman" w:hAnsi="Times New Roman"/>
          <w:b/>
          <w:color w:val="0F172A"/>
          <w:sz w:val="36"/>
        </w:rPr>
        <w:t>Klinik Karar Destek Sistemlerinde Derin Öğrenme Modellerinin Tanı Doğruluğu: Sistematik Derleme ve Meta-Analiz Taslağı</w:t>
      </w:r>
    </w:p>
    <w:p>
      <w:pPr>
        <w:spacing w:after="200"/>
        <w:jc w:val="center"/>
      </w:pPr>
      <w:r>
        <w:rPr>
          <w:rFonts w:ascii="Times New Roman" w:hAnsi="Times New Roman"/>
          <w:i/>
          <w:color w:val="475569"/>
          <w:sz w:val="24"/>
        </w:rPr>
        <w:t>Örnek Makale Taslağı | Klinik Tıp &amp; Radyoloji Bilişimi | PRISMA-DTA &amp; QUADAS-2 Formatı</w:t>
      </w:r>
    </w:p>
    <w:p>
      <w:pPr>
        <w:spacing w:after="360"/>
        <w:jc w:val="center"/>
      </w:pPr>
      <w:r>
        <w:rPr>
          <w:rFonts w:ascii="Times New Roman" w:hAnsi="Times New Roman"/>
          <w:color w:val="64748B"/>
          <w:sz w:val="20"/>
        </w:rPr>
        <w:t>Disiplin: Sağlık ve Tıp Bilimleri | AcademicResearch.com.tr Vitrin Taslağı</w:t>
      </w:r>
    </w:p>
    <w:p>
      <w:pPr>
        <w:pStyle w:val="Heading1"/>
        <w:keepNext/>
        <w:spacing w:before="280" w:after="80"/>
      </w:pPr>
      <w:r>
        <w:rPr>
          <w:rFonts w:ascii="Times New Roman" w:hAnsi="Times New Roman"/>
          <w:b/>
          <w:color w:val="0F172A"/>
          <w:sz w:val="30"/>
        </w:rPr>
        <w:t>Özet</w:t>
      </w:r>
    </w:p>
    <w:p>
      <w:pPr>
        <w:spacing w:after="120" w:line="360" w:lineRule="auto"/>
        <w:ind w:firstLine="720"/>
        <w:jc w:val="both"/>
      </w:pPr>
      <w:r>
        <w:rPr>
          <w:rFonts w:ascii="Times New Roman" w:hAnsi="Times New Roman"/>
          <w:b/>
        </w:rPr>
        <w:t>Giriş:</w:t>
      </w:r>
      <w:r>
        <w:rPr>
          <w:rFonts w:ascii="Times New Roman" w:hAnsi="Times New Roman"/>
        </w:rPr>
        <w:t xml:space="preserve"> Radyolojik görüntüleme tetkiklerinde evrişimli sinir ağları (CNN), tanısal duyarlılığı artırma ve uzman hekim iş yükünü hafifletme potansiyeline sahiptir; ancak klinik çalışmaların kanıt düzeyi heterojendir.</w:t>
      </w:r>
    </w:p>
    <w:p>
      <w:pPr>
        <w:spacing w:after="120" w:line="360" w:lineRule="auto"/>
        <w:ind w:firstLine="720"/>
        <w:jc w:val="both"/>
      </w:pPr>
      <w:r>
        <w:rPr>
          <w:rFonts w:ascii="Times New Roman" w:hAnsi="Times New Roman"/>
          <w:b/>
        </w:rPr>
        <w:t>Amaç:</w:t>
      </w:r>
      <w:r>
        <w:rPr>
          <w:rFonts w:ascii="Times New Roman" w:hAnsi="Times New Roman"/>
        </w:rPr>
        <w:t xml:space="preserve"> Akciğer tomografisi ve mamografi tetkiklerinde derin öğrenme tabanlı klinik karar destek sistemlerinin tanısal duyarlılık ve özgüllük oranlarını uzman radyologlarla karşılaştırmalı olarak sentezlemek.</w:t>
      </w:r>
    </w:p>
    <w:p>
      <w:pPr>
        <w:spacing w:after="120" w:line="360" w:lineRule="auto"/>
        <w:ind w:firstLine="720"/>
        <w:jc w:val="both"/>
      </w:pPr>
      <w:r>
        <w:rPr>
          <w:rFonts w:ascii="Times New Roman" w:hAnsi="Times New Roman"/>
          <w:b/>
        </w:rPr>
        <w:t>Yöntem:</w:t>
      </w:r>
      <w:r>
        <w:rPr>
          <w:rFonts w:ascii="Times New Roman" w:hAnsi="Times New Roman"/>
        </w:rPr>
        <w:t xml:space="preserve"> PRISMA-DTA (Diagnostic Test Accuracy) standartlarına uygun olarak PubMed, Scopus, Cochrane Library ve DergiPark veri tabanları (2019–2026) taranmıştır. İki bağımsız araştırmacı tarafından QUADAS-2 aracıyla metodolojik kalite değerlendirmesi yapılmıştır.</w:t>
      </w:r>
    </w:p>
    <w:p>
      <w:pPr>
        <w:spacing w:after="120" w:line="360" w:lineRule="auto"/>
        <w:ind w:firstLine="720"/>
        <w:jc w:val="both"/>
      </w:pPr>
      <w:r>
        <w:rPr>
          <w:rFonts w:ascii="Times New Roman" w:hAnsi="Times New Roman"/>
          <w:b/>
        </w:rPr>
        <w:t>Bulgular:</w:t>
      </w:r>
      <w:r>
        <w:rPr>
          <w:rFonts w:ascii="Times New Roman" w:hAnsi="Times New Roman"/>
        </w:rPr>
        <w:t xml:space="preserve"> Dahil edilen 42 randomize ve prospektif kohort çalışmasında (toplam 86.420 medikal görüntü) birleşik eğri altı alan (AUC) değeri 0.94 (%95 GA: 0.91–0.96), birleşik duyarlılık %91.8, özgüllük %89.4 bulunmuştur. Derin öğrenme destekli incelemelerde yalancı pozitiflik oranları uzman radyologlara kıyasla %18 oranında anlamlı düşüş sergilemiştir (p &lt; 0.001).</w:t>
      </w:r>
    </w:p>
    <w:p>
      <w:pPr>
        <w:spacing w:after="120" w:line="360" w:lineRule="auto"/>
        <w:ind w:firstLine="720"/>
        <w:jc w:val="both"/>
      </w:pPr>
      <w:r>
        <w:rPr>
          <w:rFonts w:ascii="Times New Roman" w:hAnsi="Times New Roman"/>
          <w:b/>
        </w:rPr>
        <w:t>Sonuç:</w:t>
      </w:r>
      <w:r>
        <w:rPr>
          <w:rFonts w:ascii="Times New Roman" w:hAnsi="Times New Roman"/>
        </w:rPr>
        <w:t xml:space="preserve"> Derin öğrenme modelleri radyologların yerini almaktan ziyade, ikinci bir bağımsız göz olarak tanısal güvenliği artıran güvenilir bir klinik karar destek aracı niteliğindedir.</w:t>
      </w:r>
    </w:p>
    <w:p>
      <w:pPr>
        <w:spacing w:after="120" w:line="360" w:lineRule="auto"/>
        <w:ind w:firstLine="720"/>
        <w:jc w:val="both"/>
      </w:pPr>
      <w:r>
        <w:rPr>
          <w:rFonts w:ascii="Times New Roman" w:hAnsi="Times New Roman"/>
          <w:b/>
        </w:rPr>
        <w:t>Anahtar Kelimeler:</w:t>
      </w:r>
      <w:r>
        <w:rPr>
          <w:rFonts w:ascii="Times New Roman" w:hAnsi="Times New Roman"/>
        </w:rPr>
        <w:t xml:space="preserve"> Derin Öğrenme, Klinik Karar Destek, PRISMA-DTA, QUADAS-2, Radyoloji Bilişimi, Tanı Doğruluğu.</w:t>
      </w:r>
    </w:p>
    <w:p>
      <w:pPr>
        <w:pStyle w:val="Heading2"/>
        <w:keepNext/>
        <w:spacing w:before="240" w:after="80"/>
      </w:pPr>
      <w:r>
        <w:rPr>
          <w:rFonts w:ascii="Times New Roman" w:hAnsi="Times New Roman"/>
          <w:b/>
          <w:color w:val="1E293B"/>
          <w:sz w:val="26"/>
        </w:rPr>
        <w:t>1. Giriş ve Klinik Gerekçe</w:t>
      </w:r>
    </w:p>
    <w:p>
      <w:pPr>
        <w:spacing w:after="120" w:line="360" w:lineRule="auto"/>
        <w:ind w:firstLine="720"/>
        <w:jc w:val="both"/>
      </w:pPr>
      <w:r>
        <w:rPr>
          <w:rFonts w:ascii="Times New Roman" w:hAnsi="Times New Roman"/>
        </w:rPr>
        <w:t>Son yıllarda tıbbi görüntüleme verilerinin katlanarak artması, radyoloji uzmanlarının iş yükünü kritik düzeylere ulaştırmış ve hekim tükenmişliğini tetiklemiştir (Topol, 2021). Özellikle erken evre lezyonların ve mikro-kalsifikasyonların tespitinde göz yorgunluğuna bağlı atlama hataları, hasta prognozunu doğrudan etkileyebilmektedir. Evrişimli sinir ağları (CNN) ve görme transformatörleri (Vision Transformers - ViT), pikseller düzeyindeki mikro-örüntüleri insan gözünden daha istikrarlı ayrıştırabilme yeteneği sergilemektedir (Rajpurkar et al., 2022).</w:t>
      </w:r>
    </w:p>
    <w:p>
      <w:pPr>
        <w:pStyle w:val="Heading2"/>
        <w:keepNext/>
        <w:spacing w:before="240" w:after="80"/>
      </w:pPr>
      <w:r>
        <w:rPr>
          <w:rFonts w:ascii="Times New Roman" w:hAnsi="Times New Roman"/>
          <w:b/>
          <w:color w:val="1E293B"/>
          <w:sz w:val="26"/>
        </w:rPr>
        <w:t>2. Metodoloji: Tarama Stratejisi ve Kalite Değerlendirmesi</w:t>
      </w:r>
    </w:p>
    <w:p>
      <w:pPr>
        <w:spacing w:after="120" w:line="360" w:lineRule="auto"/>
        <w:ind w:firstLine="720"/>
        <w:jc w:val="both"/>
      </w:pPr>
      <w:r>
        <w:rPr>
          <w:rFonts w:ascii="Times New Roman" w:hAnsi="Times New Roman"/>
        </w:rPr>
        <w:t>Bu çalışma, Tanı Testi Doğruluğu için PRISMA-DTA bildirim standartlarına sıkı biçimde bağlı kalarak yürütülmüştür (McInnes et al., 2018). PROSPERO veri tabanında CRD42026198542 numarası ile tescil edilen araştırma protokolü kapsamında PubMed/MEDLINE, Embase, Cochrane Library ve DergiPark taranmıştır. Metodolojik kalite ve yanlılık riski QUADAS-2 (Quality Assessment of Diagnostic Accuracy Studies) aracıyla değerlendirilmiştir (Whiting et al., 2011).</w:t>
      </w:r>
    </w:p>
    <w:p>
      <w:pPr>
        <w:pStyle w:val="ListBullet"/>
        <w:spacing w:after="60" w:line="312" w:lineRule="auto"/>
      </w:pPr>
      <w:r>
        <w:rPr>
          <w:rFonts w:ascii="Times New Roman" w:hAnsi="Times New Roman"/>
          <w:b/>
        </w:rPr>
        <w:t>Dahil Edilme Kriterleri:</w:t>
      </w:r>
      <w:r>
        <w:rPr>
          <w:rFonts w:ascii="Times New Roman" w:hAnsi="Times New Roman"/>
        </w:rPr>
        <w:t xml:space="preserve"> 2019-2026 arasında yayımlanmış, histopatolojik biyopsi veya kıdemli radyolog konsensüsünü referans standart kabul eden orijinal prospektif veya randomize tanısal doğruluk çalışmaları.</w:t>
      </w:r>
    </w:p>
    <w:p>
      <w:pPr>
        <w:pStyle w:val="ListBullet"/>
        <w:spacing w:after="60" w:line="312" w:lineRule="auto"/>
      </w:pPr>
      <w:r>
        <w:rPr>
          <w:rFonts w:ascii="Times New Roman" w:hAnsi="Times New Roman"/>
          <w:b/>
        </w:rPr>
        <w:t>İstatistiksel Analiz:</w:t>
      </w:r>
      <w:r>
        <w:rPr>
          <w:rFonts w:ascii="Times New Roman" w:hAnsi="Times New Roman"/>
        </w:rPr>
        <w:t xml:space="preserve"> Bivariate random-effects modeliyle birleşik duyarlılık, özgüllük ve SROC (Summary Receiver Operating Characteristic) eğrisi oluşturulmuştur.</w:t>
      </w:r>
    </w:p>
    <w:p>
      <w:pPr>
        <w:pStyle w:val="Heading2"/>
        <w:keepNext/>
        <w:spacing w:before="240" w:after="80"/>
      </w:pPr>
      <w:r>
        <w:rPr>
          <w:rFonts w:ascii="Times New Roman" w:hAnsi="Times New Roman"/>
          <w:b/>
          <w:color w:val="1E293B"/>
          <w:sz w:val="26"/>
        </w:rPr>
        <w:t>3. Bulgular ve Meta-Analiz Sentezi</w:t>
      </w:r>
    </w:p>
    <w:p>
      <w:pPr>
        <w:spacing w:after="120" w:line="360" w:lineRule="auto"/>
        <w:ind w:firstLine="720"/>
        <w:jc w:val="both"/>
      </w:pPr>
      <w:r>
        <w:rPr>
          <w:rFonts w:ascii="Times New Roman" w:hAnsi="Times New Roman"/>
        </w:rPr>
        <w:t>Taranan 1.840 kayıttan tam metin incelemesi sonucunda 42 çalışma (toplam 86.420 medikal görüntü) meta-analize dahil edilmiştir:</w:t>
      </w:r>
    </w:p>
    <w:p>
      <w:pPr>
        <w:pStyle w:val="ListNumber"/>
        <w:spacing w:after="60" w:line="312" w:lineRule="auto"/>
      </w:pPr>
      <w:r>
        <w:rPr>
          <w:rFonts w:ascii="Times New Roman" w:hAnsi="Times New Roman"/>
          <w:b/>
        </w:rPr>
        <w:t>Tanısal Doğruluk:</w:t>
      </w:r>
      <w:r>
        <w:rPr>
          <w:rFonts w:ascii="Times New Roman" w:hAnsi="Times New Roman"/>
        </w:rPr>
        <w:t xml:space="preserve"> Birleşik AUC değeri 0.94 (%95 GA: 0.91–0.96) hesaplanmıştır.</w:t>
      </w:r>
    </w:p>
    <w:p>
      <w:pPr>
        <w:pStyle w:val="ListNumber"/>
        <w:spacing w:after="60" w:line="312" w:lineRule="auto"/>
      </w:pPr>
      <w:r>
        <w:rPr>
          <w:rFonts w:ascii="Times New Roman" w:hAnsi="Times New Roman"/>
          <w:b/>
        </w:rPr>
        <w:t>Duyarlılık ve Özgüllük:</w:t>
      </w:r>
      <w:r>
        <w:rPr>
          <w:rFonts w:ascii="Times New Roman" w:hAnsi="Times New Roman"/>
        </w:rPr>
        <w:t xml:space="preserve"> Birleşik duyarlılık %91.8 (%95 GA: 89.2–93.7), özgüllük ise %89.4 (%95 GA: 86.8–91.5) bulunmuştur.</w:t>
      </w:r>
    </w:p>
    <w:p>
      <w:pPr>
        <w:pStyle w:val="ListNumber"/>
        <w:spacing w:after="60" w:line="312" w:lineRule="auto"/>
      </w:pPr>
      <w:r>
        <w:rPr>
          <w:rFonts w:ascii="Times New Roman" w:hAnsi="Times New Roman"/>
          <w:b/>
        </w:rPr>
        <w:t>Klinik İş Birliği Kazancı:</w:t>
      </w:r>
      <w:r>
        <w:rPr>
          <w:rFonts w:ascii="Times New Roman" w:hAnsi="Times New Roman"/>
        </w:rPr>
        <w:t xml:space="preserve"> Derin öğrenme destekli incelemelerde yalancı pozitiflik oranları uzman hekimlere kıyasla %18 anlamlı düşüş sergilemiştir (p &lt; 0.001).</w:t>
      </w:r>
    </w:p>
    <w:p>
      <w:pPr>
        <w:pStyle w:val="Heading2"/>
        <w:keepNext/>
        <w:spacing w:before="240" w:after="80"/>
      </w:pPr>
      <w:r>
        <w:rPr>
          <w:rFonts w:ascii="Times New Roman" w:hAnsi="Times New Roman"/>
          <w:b/>
          <w:color w:val="1E293B"/>
          <w:sz w:val="26"/>
        </w:rPr>
        <w:t>4. Tartışma ve Klinik Çıkarımlar</w:t>
      </w:r>
    </w:p>
    <w:p>
      <w:pPr>
        <w:spacing w:after="120" w:line="360" w:lineRule="auto"/>
        <w:ind w:firstLine="720"/>
        <w:jc w:val="both"/>
      </w:pPr>
      <w:r>
        <w:rPr>
          <w:rFonts w:ascii="Times New Roman" w:hAnsi="Times New Roman"/>
        </w:rPr>
        <w:t>Meta-analiz bulgularımız, derin öğrenme algoritmalarının tek başına tanı koyan bağımsız mekanizmalardan ziyade, uzman hekimin kararını destekleyen "artırılmış zekâ" (augmented intelligence) işlevinde en yüksek klinik faydayı sunduğunu ortaya koymaktadır. Çok merkezli klinik çalışmalarla algoritma güvenliği kanıtlanmalı ve hastane PACS sistemlerine entegrasyon protokolleri standardize edilmelidir.</w:t>
      </w:r>
    </w:p>
    <w:p>
      <w:pPr>
        <w:pStyle w:val="Heading2"/>
        <w:keepNext/>
        <w:spacing w:before="240" w:after="80"/>
      </w:pPr>
      <w:r>
        <w:rPr>
          <w:rFonts w:ascii="Times New Roman" w:hAnsi="Times New Roman"/>
          <w:b/>
          <w:color w:val="1E293B"/>
          <w:sz w:val="26"/>
        </w:rPr>
        <w:t>Kaynakça (AMA / PRISMA)</w:t>
      </w:r>
    </w:p>
    <w:p>
      <w:pPr>
        <w:spacing w:after="120" w:line="360" w:lineRule="auto"/>
        <w:ind w:left="720" w:hanging="720"/>
        <w:jc w:val="both"/>
      </w:pPr>
      <w:r>
        <w:rPr>
          <w:rFonts w:ascii="Times New Roman" w:hAnsi="Times New Roman"/>
        </w:rPr>
        <w:t xml:space="preserve">McInnes, M. D., Moher, D., Thombs, B. D., McGrath, T. A., Bossuyt, P. M., &amp; the PRISMA-DTA Group. (2018). Preferred Reporting Items for a Systematic Review and Meta-analysis of Diagnostic Test Accuracy Studies: The PRISMA-DTA Statement. </w:t>
      </w:r>
      <w:r>
        <w:rPr>
          <w:rFonts w:ascii="Times New Roman" w:hAnsi="Times New Roman"/>
          <w:i/>
        </w:rPr>
        <w:t>JAMA</w:t>
      </w:r>
      <w:r>
        <w:rPr>
          <w:rFonts w:ascii="Times New Roman" w:hAnsi="Times New Roman"/>
        </w:rPr>
        <w:t>, 319(4), 388–396. https://doi.org/10.1001/jama.2017.19163</w:t>
      </w:r>
    </w:p>
    <w:p>
      <w:pPr>
        <w:spacing w:after="120" w:line="360" w:lineRule="auto"/>
        <w:ind w:left="720" w:hanging="720"/>
        <w:jc w:val="both"/>
      </w:pPr>
      <w:r>
        <w:rPr>
          <w:rFonts w:ascii="Times New Roman" w:hAnsi="Times New Roman"/>
        </w:rPr>
        <w:t xml:space="preserve">Rajpurkar, P., Chen, E., Banerjee, O., &amp; Topol, E. J. (2022). AI in health and medicine. </w:t>
      </w:r>
      <w:r>
        <w:rPr>
          <w:rFonts w:ascii="Times New Roman" w:hAnsi="Times New Roman"/>
          <w:i/>
        </w:rPr>
        <w:t>Nature Medicine</w:t>
      </w:r>
      <w:r>
        <w:rPr>
          <w:rFonts w:ascii="Times New Roman" w:hAnsi="Times New Roman"/>
        </w:rPr>
        <w:t>, 28(1), 31–38. https://doi.org/10.1038/s41591-021-01614-0</w:t>
      </w:r>
    </w:p>
    <w:p>
      <w:pPr>
        <w:spacing w:after="120" w:line="360" w:lineRule="auto"/>
        <w:ind w:left="720" w:hanging="720"/>
        <w:jc w:val="both"/>
      </w:pPr>
      <w:r>
        <w:rPr>
          <w:rFonts w:ascii="Times New Roman" w:hAnsi="Times New Roman"/>
        </w:rPr>
        <w:t xml:space="preserve">Topol, E. J. (2021). High-performance medicine: the convergence of human and artificial intelligence. </w:t>
      </w:r>
      <w:r>
        <w:rPr>
          <w:rFonts w:ascii="Times New Roman" w:hAnsi="Times New Roman"/>
          <w:i/>
        </w:rPr>
        <w:t>Nature Medicine</w:t>
      </w:r>
      <w:r>
        <w:rPr>
          <w:rFonts w:ascii="Times New Roman" w:hAnsi="Times New Roman"/>
        </w:rPr>
        <w:t>, 25(1), 44–56. https://doi.org/10.1038/s41591-018-0300-7</w:t>
      </w:r>
    </w:p>
    <w:p>
      <w:pPr>
        <w:spacing w:after="120" w:line="360" w:lineRule="auto"/>
        <w:ind w:left="720" w:hanging="720"/>
        <w:jc w:val="both"/>
      </w:pPr>
      <w:r>
        <w:rPr>
          <w:rFonts w:ascii="Times New Roman" w:hAnsi="Times New Roman"/>
        </w:rPr>
        <w:t xml:space="preserve">Whiting, P. F., Rutjes, A. W., Westwood, M. E., Mallett, S., Deeks, J. J., Reitsma, J. B., ... &amp; QUADAS-2 Group. (2011). QUADAS-2: a revised tool for the quality assessment of diagnostic accuracy studies. </w:t>
      </w:r>
      <w:r>
        <w:rPr>
          <w:rFonts w:ascii="Times New Roman" w:hAnsi="Times New Roman"/>
          <w:i/>
        </w:rPr>
        <w:t>Annals of Internal Medicine</w:t>
      </w:r>
      <w:r>
        <w:rPr>
          <w:rFonts w:ascii="Times New Roman" w:hAnsi="Times New Roman"/>
        </w:rPr>
        <w:t>, 155(8), 529–536.</w:t>
      </w:r>
    </w:p>
    <w:sectPr w:rsidR="00FC693F" w:rsidRPr="0006063C"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jc w:val="both"/>
    </w:pPr>
    <w:rPr>
      <w:rFonts w:ascii="Times New Roman" w:hAnsi="Times New Roman"/>
      <w:color w:val="111827"/>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