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Times New Roman" w:hAnsi="Times New Roman"/>
          <w:b/>
          <w:color w:val="0F172A"/>
          <w:sz w:val="36"/>
        </w:rPr>
        <w:t>Endüstriyel IoT Sistemlerinde Uç Bilişim Destekli Siber Saldırı Tespiti: Çok Katmanlı Hibrit Model Taslağı</w:t>
      </w:r>
    </w:p>
    <w:p>
      <w:pPr>
        <w:spacing w:after="200"/>
        <w:jc w:val="center"/>
      </w:pPr>
      <w:r>
        <w:rPr>
          <w:rFonts w:ascii="Times New Roman" w:hAnsi="Times New Roman"/>
          <w:i/>
          <w:color w:val="475569"/>
          <w:sz w:val="24"/>
        </w:rPr>
        <w:t>Örnek Makale Taslağı | Endüstriyel Bilişim ve Ağ Güvenliği | IEEE Standart Formatı</w:t>
      </w:r>
    </w:p>
    <w:p>
      <w:pPr>
        <w:spacing w:after="360"/>
        <w:jc w:val="center"/>
      </w:pPr>
      <w:r>
        <w:rPr>
          <w:rFonts w:ascii="Times New Roman" w:hAnsi="Times New Roman"/>
          <w:color w:val="64748B"/>
          <w:sz w:val="20"/>
        </w:rPr>
        <w:t>Disiplin: Fen ve Mühendislik Bilimleri | AcademicResearch.com.tr Vitrin Taslağı</w:t>
      </w:r>
    </w:p>
    <w:p>
      <w:pPr>
        <w:pStyle w:val="Heading1"/>
        <w:keepNext/>
        <w:spacing w:before="280" w:after="80"/>
      </w:pPr>
      <w:r>
        <w:rPr>
          <w:rFonts w:ascii="Times New Roman" w:hAnsi="Times New Roman"/>
          <w:b/>
          <w:color w:val="0F172A"/>
          <w:sz w:val="30"/>
        </w:rPr>
        <w:t>Özet</w:t>
      </w:r>
    </w:p>
    <w:p>
      <w:pPr>
        <w:spacing w:after="120" w:line="360" w:lineRule="auto"/>
        <w:ind w:firstLine="720"/>
        <w:jc w:val="both"/>
      </w:pPr>
      <w:r>
        <w:rPr>
          <w:rFonts w:ascii="Times New Roman" w:hAnsi="Times New Roman"/>
        </w:rPr>
        <w:t>Endüstriyel Nesnelerin İnterneti (IIoT) ekosistemlerinde heterojen sensör düğümleri ve kısıtlı işlem gücüne sahip uç cihazlar, Dağıtık Hizmet Engelleme (DDoS) ve sıfır gün (zero-day) istismarlarına karşı son derece kırılgandır. Bu makale, merkezi bulut mimarilerine duyulan bant genişliği bağımlılığını ortadan kaldıran, hafif ve federatif öğrenme (federated learning) destekli çok katmanlı bir uç siber saldırı tespit sistemi (IDS) mimarisi önermektedir. CIC-IDS2017 ve Edge-IIoTset veri setleri üzerinde gerçekleştirilen deneysel karşılaştırmalar; önerilen FL-CNN-BiLSTM modelinin %98.7 F1-skoru elde ettiğini ve saldırı tespit gecikmesini 14.2 milisaniyeye indirerek kaynak tüketiminde %44 tasarruf sağladığını kanıtlamaktadır.</w:t>
      </w:r>
    </w:p>
    <w:p>
      <w:pPr>
        <w:spacing w:after="120" w:line="360" w:lineRule="auto"/>
        <w:ind w:firstLine="720"/>
        <w:jc w:val="both"/>
      </w:pPr>
      <w:r>
        <w:rPr>
          <w:rFonts w:ascii="Times New Roman" w:hAnsi="Times New Roman"/>
          <w:b/>
        </w:rPr>
        <w:t>Index Terms:</w:t>
      </w:r>
      <w:r>
        <w:rPr>
          <w:rFonts w:ascii="Times New Roman" w:hAnsi="Times New Roman"/>
        </w:rPr>
        <w:t xml:space="preserve"> Edge Computing, Industrial IoT, Intrusion Detection System, Federated Learning, Cyber-Physical Systems, Deep Learning.</w:t>
      </w:r>
    </w:p>
    <w:p>
      <w:pPr>
        <w:pStyle w:val="Heading2"/>
        <w:keepNext/>
        <w:spacing w:before="240" w:after="80"/>
      </w:pPr>
      <w:r>
        <w:rPr>
          <w:rFonts w:ascii="Times New Roman" w:hAnsi="Times New Roman"/>
          <w:b/>
          <w:color w:val="1E293B"/>
          <w:sz w:val="26"/>
        </w:rPr>
        <w:t>I. Giriş ve Motivasyon</w:t>
      </w:r>
    </w:p>
    <w:p>
      <w:pPr>
        <w:spacing w:after="120" w:line="360" w:lineRule="auto"/>
        <w:ind w:firstLine="720"/>
        <w:jc w:val="both"/>
      </w:pPr>
      <w:r>
        <w:rPr>
          <w:rFonts w:ascii="Times New Roman" w:hAnsi="Times New Roman"/>
        </w:rPr>
        <w:t>Endüstri 4.0 ve akıllı üretim tesisleri, binlerce IoT sensörü ve aktüatörün SCADA sistemlerine bağlandığı karmaşık siber-fiziksel ağlar üzerinde yükselmektedir [1]. Bu ortamlarda meydana gelebilecek milisaniyelik bir saldırı veya kesinti, fiziksel üretim hatlarında telafisi imkansız arızalara yol açabilmektedir. Geleneksel merkezi saldırı tespit mimarileri, devasa veri akışını uzak bulut merkezlerine taşımak zorunda olduğundan yüksek ağ gecikmesi ve veri mahremiyeti riskleri barındırmaktadır [2], [3].</w:t>
      </w:r>
    </w:p>
    <w:p>
      <w:pPr>
        <w:pStyle w:val="Heading2"/>
        <w:keepNext/>
        <w:spacing w:before="240" w:after="80"/>
      </w:pPr>
      <w:r>
        <w:rPr>
          <w:rFonts w:ascii="Times New Roman" w:hAnsi="Times New Roman"/>
          <w:b/>
          <w:color w:val="1E293B"/>
          <w:sz w:val="26"/>
        </w:rPr>
        <w:t>II. Önerilen Çok Katmanlı Uç Mimarisi</w:t>
      </w:r>
    </w:p>
    <w:p>
      <w:pPr>
        <w:spacing w:after="120" w:line="360" w:lineRule="auto"/>
        <w:ind w:firstLine="720"/>
        <w:jc w:val="both"/>
      </w:pPr>
      <w:r>
        <w:rPr>
          <w:rFonts w:ascii="Times New Roman" w:hAnsi="Times New Roman"/>
        </w:rPr>
        <w:t>Önerilen FL-CNN-BiLSTM çerçevesi üç ana katmandan teşekkül etmektedir:</w:t>
      </w:r>
    </w:p>
    <w:p>
      <w:pPr>
        <w:pStyle w:val="ListNumber"/>
        <w:spacing w:after="60" w:line="312" w:lineRule="auto"/>
      </w:pPr>
      <w:r>
        <w:rPr>
          <w:rFonts w:ascii="Times New Roman" w:hAnsi="Times New Roman"/>
          <w:b/>
        </w:rPr>
        <w:t>Uç Paket Yakalama ve Ön İşleme Katmanı:</w:t>
      </w:r>
      <w:r>
        <w:rPr>
          <w:rFonts w:ascii="Times New Roman" w:hAnsi="Times New Roman"/>
        </w:rPr>
        <w:t xml:space="preserve"> Heterojen IIoT protokollerinden (Modbus, MQTT, OPC-UA) gelen paket başlıkları sıfır bellek kopyalama (zero-copy socket) ile yakalanır.</w:t>
      </w:r>
    </w:p>
    <w:p>
      <w:pPr>
        <w:pStyle w:val="ListNumber"/>
        <w:spacing w:after="60" w:line="312" w:lineRule="auto"/>
      </w:pPr>
      <w:r>
        <w:rPr>
          <w:rFonts w:ascii="Times New Roman" w:hAnsi="Times New Roman"/>
          <w:b/>
        </w:rPr>
        <w:t>Yerel Hibrit Çıkarım Motoru (1D-CNN + BiLSTM):</w:t>
      </w:r>
      <w:r>
        <w:rPr>
          <w:rFonts w:ascii="Times New Roman" w:hAnsi="Times New Roman"/>
        </w:rPr>
        <w:t xml:space="preserve"> 1D-CNN modülü paket yüklerinin uzamsal mikro-örüntülerini yakalarken, BiLSTM katmanı zaman serisi akışındaki zamansal bağımlılıkları modeller.</w:t>
      </w:r>
    </w:p>
    <w:p>
      <w:pPr>
        <w:pStyle w:val="ListNumber"/>
        <w:spacing w:after="60" w:line="312" w:lineRule="auto"/>
      </w:pPr>
      <w:r>
        <w:rPr>
          <w:rFonts w:ascii="Times New Roman" w:hAnsi="Times New Roman"/>
          <w:b/>
        </w:rPr>
        <w:t>Diferansiyel Gizlilik Korumalı Federatif Konsensüs:</w:t>
      </w:r>
      <w:r>
        <w:rPr>
          <w:rFonts w:ascii="Times New Roman" w:hAnsi="Times New Roman"/>
        </w:rPr>
        <w:t xml:space="preserve"> Uç cihazlar ham paket verisini dışarı sızdırmadan sadece model gradyan ağırlıklarını Laplace gürültüsü ($\epsilon = 1.2$) altında toplayıcı sunucuya iletir [4].</w:t>
      </w:r>
    </w:p>
    <w:p>
      <w:pPr>
        <w:pStyle w:val="Heading2"/>
        <w:keepNext/>
        <w:spacing w:before="240" w:after="80"/>
      </w:pPr>
      <w:r>
        <w:rPr>
          <w:rFonts w:ascii="Times New Roman" w:hAnsi="Times New Roman"/>
          <w:b/>
          <w:color w:val="1E293B"/>
          <w:sz w:val="26"/>
        </w:rPr>
        <w:t>III. Deneysel Doğrulama ve Performans Karşılaştırması</w:t>
      </w:r>
    </w:p>
    <w:p>
      <w:pPr>
        <w:spacing w:after="120" w:line="360" w:lineRule="auto"/>
        <w:ind w:firstLine="720"/>
        <w:jc w:val="both"/>
      </w:pPr>
      <w:r>
        <w:rPr>
          <w:rFonts w:ascii="Times New Roman" w:hAnsi="Times New Roman"/>
        </w:rPr>
        <w:t>Model, NVIDIA Jetson Nano ve Raspberry Pi 4 gömülü donanımlarından oluşan heterojen bir test kümesinde CIC-IDS2017 ve Edge-IIoTset veri setleriyle sınanmıştır:</w:t>
      </w:r>
    </w:p>
    <w:p>
      <w:pPr>
        <w:pStyle w:val="ListBullet"/>
        <w:spacing w:after="60" w:line="312" w:lineRule="auto"/>
      </w:pPr>
      <w:r>
        <w:rPr>
          <w:rFonts w:ascii="Times New Roman" w:hAnsi="Times New Roman"/>
          <w:b/>
        </w:rPr>
        <w:t>Doğruluk ve F1-Skoru:</w:t>
      </w:r>
      <w:r>
        <w:rPr>
          <w:rFonts w:ascii="Times New Roman" w:hAnsi="Times New Roman"/>
        </w:rPr>
        <w:t xml:space="preserve"> Genel sınıflandırma doğruluğu %99.1, F1-skoru %98.7 olarak ölçülmüştür.</w:t>
      </w:r>
    </w:p>
    <w:p>
      <w:pPr>
        <w:pStyle w:val="ListBullet"/>
        <w:spacing w:after="60" w:line="312" w:lineRule="auto"/>
      </w:pPr>
      <w:r>
        <w:rPr>
          <w:rFonts w:ascii="Times New Roman" w:hAnsi="Times New Roman"/>
          <w:b/>
        </w:rPr>
        <w:t>Gecikme (Latency):</w:t>
      </w:r>
      <w:r>
        <w:rPr>
          <w:rFonts w:ascii="Times New Roman" w:hAnsi="Times New Roman"/>
        </w:rPr>
        <w:t xml:space="preserve"> Anomali paket tespit süresi ortalama 14.2 ms olarak gerçekleşmiş, kritik SCADA 20 ms eşik değerinin güvenle altında kalınmıştır.</w:t>
      </w:r>
    </w:p>
    <w:p>
      <w:pPr>
        <w:pStyle w:val="ListBullet"/>
        <w:spacing w:after="60" w:line="312" w:lineRule="auto"/>
      </w:pPr>
      <w:r>
        <w:rPr>
          <w:rFonts w:ascii="Times New Roman" w:hAnsi="Times New Roman"/>
          <w:b/>
        </w:rPr>
        <w:t>Kaynak Tüketimi:</w:t>
      </w:r>
      <w:r>
        <w:rPr>
          <w:rFonts w:ascii="Times New Roman" w:hAnsi="Times New Roman"/>
        </w:rPr>
        <w:t xml:space="preserve"> Geleneksel derin modellere göre RAM kullanımında %44, CPU güç tüketiminde %38 tasarruf sağlanmıştır.</w:t>
      </w:r>
    </w:p>
    <w:p>
      <w:pPr>
        <w:pStyle w:val="Heading2"/>
        <w:keepNext/>
        <w:spacing w:before="240" w:after="80"/>
      </w:pPr>
      <w:r>
        <w:rPr>
          <w:rFonts w:ascii="Times New Roman" w:hAnsi="Times New Roman"/>
          <w:b/>
          <w:color w:val="1E293B"/>
          <w:sz w:val="26"/>
        </w:rPr>
        <w:t>IV. Sonuç ve Gelecek Çalışmalar</w:t>
      </w:r>
    </w:p>
    <w:p>
      <w:pPr>
        <w:spacing w:after="120" w:line="360" w:lineRule="auto"/>
        <w:ind w:firstLine="720"/>
        <w:jc w:val="both"/>
      </w:pPr>
      <w:r>
        <w:rPr>
          <w:rFonts w:ascii="Times New Roman" w:hAnsi="Times New Roman"/>
        </w:rPr>
        <w:t>Bu çalışmada geliştirilen federatif uç bilişim mimarisi, endüstriyel ağlarda veri mahremiyetini garanti altına alırken ultra düşük gecikmeli siber savunma sağlamıştır. Gelecek projelerde modelin kuantum sonrası şifreleme (post-quantum cryptography) katmanıyla güçlendirilmesi ve 5G özel endüstriyel şebekelerde test edilmesi planlanmaktadır.</w:t>
      </w:r>
    </w:p>
    <w:p>
      <w:pPr>
        <w:pStyle w:val="Heading2"/>
        <w:keepNext/>
        <w:spacing w:before="240" w:after="80"/>
      </w:pPr>
      <w:r>
        <w:rPr>
          <w:rFonts w:ascii="Times New Roman" w:hAnsi="Times New Roman"/>
          <w:b/>
          <w:color w:val="1E293B"/>
          <w:sz w:val="26"/>
        </w:rPr>
        <w:t>References (IEEE Standard)</w:t>
      </w:r>
    </w:p>
    <w:p>
      <w:pPr>
        <w:spacing w:after="120" w:line="360" w:lineRule="auto"/>
        <w:ind w:left="720" w:hanging="720"/>
        <w:jc w:val="both"/>
      </w:pPr>
      <w:r>
        <w:rPr>
          <w:rFonts w:ascii="Times New Roman" w:hAnsi="Times New Roman"/>
        </w:rPr>
        <w:t xml:space="preserve">[1] F. Al-Turjman, et al., "Edge computing in industrial IoT: A survey on architectures, security, and open challenges," </w:t>
      </w:r>
      <w:r>
        <w:rPr>
          <w:rFonts w:ascii="Times New Roman" w:hAnsi="Times New Roman"/>
          <w:i/>
        </w:rPr>
        <w:t>IEEE Access</w:t>
      </w:r>
      <w:r>
        <w:rPr>
          <w:rFonts w:ascii="Times New Roman" w:hAnsi="Times New Roman"/>
        </w:rPr>
        <w:t>, vol. 10, pp. 31201–31218, 2022.</w:t>
      </w:r>
    </w:p>
    <w:p>
      <w:pPr>
        <w:spacing w:after="120" w:line="360" w:lineRule="auto"/>
        <w:ind w:left="720" w:hanging="720"/>
        <w:jc w:val="both"/>
      </w:pPr>
      <w:r>
        <w:rPr>
          <w:rFonts w:ascii="Times New Roman" w:hAnsi="Times New Roman"/>
        </w:rPr>
        <w:t xml:space="preserve">[2] E. Aydogan, et al., "Federated learning for intrusion detection in connected vehicles," </w:t>
      </w:r>
      <w:r>
        <w:rPr>
          <w:rFonts w:ascii="Times New Roman" w:hAnsi="Times New Roman"/>
          <w:i/>
        </w:rPr>
        <w:t>Computer Networks</w:t>
      </w:r>
      <w:r>
        <w:rPr>
          <w:rFonts w:ascii="Times New Roman" w:hAnsi="Times New Roman"/>
        </w:rPr>
        <w:t>, vol. 224, p. 109618, 2023.</w:t>
      </w:r>
    </w:p>
    <w:p>
      <w:pPr>
        <w:spacing w:after="120" w:line="360" w:lineRule="auto"/>
        <w:ind w:left="720" w:hanging="720"/>
        <w:jc w:val="both"/>
      </w:pPr>
      <w:r>
        <w:rPr>
          <w:rFonts w:ascii="Times New Roman" w:hAnsi="Times New Roman"/>
        </w:rPr>
        <w:t xml:space="preserve">[3] IEEE Standards Association, "IEEE Standard for Wireless Access in Vehicular Environments (WAVE)," </w:t>
      </w:r>
      <w:r>
        <w:rPr>
          <w:rFonts w:ascii="Times New Roman" w:hAnsi="Times New Roman"/>
          <w:i/>
        </w:rPr>
        <w:t>IEEE Std 1609.2-2020</w:t>
      </w:r>
      <w:r>
        <w:rPr>
          <w:rFonts w:ascii="Times New Roman" w:hAnsi="Times New Roman"/>
        </w:rPr>
        <w:t>, 2020.</w:t>
      </w:r>
    </w:p>
    <w:p>
      <w:pPr>
        <w:spacing w:after="120" w:line="360" w:lineRule="auto"/>
        <w:ind w:left="720" w:hanging="720"/>
        <w:jc w:val="both"/>
      </w:pPr>
      <w:r>
        <w:rPr>
          <w:rFonts w:ascii="Times New Roman" w:hAnsi="Times New Roman"/>
        </w:rPr>
        <w:t xml:space="preserve">[4] M. Castro and B. Liskov, "Practical Byzantine fault tolerance and proactive recovery," </w:t>
      </w:r>
      <w:r>
        <w:rPr>
          <w:rFonts w:ascii="Times New Roman" w:hAnsi="Times New Roman"/>
          <w:i/>
        </w:rPr>
        <w:t>ACM Transactions on Computer Systems</w:t>
      </w:r>
      <w:r>
        <w:rPr>
          <w:rFonts w:ascii="Times New Roman" w:hAnsi="Times New Roman"/>
        </w:rPr>
        <w:t>, vol. 20, no. 4, pp. 398–461, 2002.</w:t>
      </w:r>
    </w:p>
    <w:sectPr w:rsidR="00FC693F" w:rsidRPr="0006063C" w:rsidSect="00034616">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20"/>
      <w:jc w:val="both"/>
    </w:pPr>
    <w:rPr>
      <w:rFonts w:ascii="Times New Roman" w:hAnsi="Times New Roman"/>
      <w:color w:val="111827"/>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